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F87" w:rsidRPr="00146F87" w:rsidRDefault="00146F87" w:rsidP="00146F87">
      <w:pPr>
        <w:jc w:val="center"/>
        <w:rPr>
          <w:b/>
          <w:bCs/>
          <w:lang w:val="en-US"/>
        </w:rPr>
      </w:pPr>
      <w:r w:rsidRPr="00146F87">
        <w:rPr>
          <w:b/>
          <w:bCs/>
          <w:lang w:val="en-US"/>
        </w:rPr>
        <w:t xml:space="preserve">Risk </w:t>
      </w:r>
      <w:r w:rsidR="00722A69">
        <w:rPr>
          <w:b/>
          <w:bCs/>
          <w:lang w:val="en-US"/>
        </w:rPr>
        <w:t xml:space="preserve">of bias </w:t>
      </w:r>
      <w:bookmarkStart w:id="0" w:name="_GoBack"/>
      <w:bookmarkEnd w:id="0"/>
    </w:p>
    <w:tbl>
      <w:tblPr>
        <w:tblW w:w="4984" w:type="pct"/>
        <w:tblInd w:w="40" w:type="dxa"/>
        <w:tblLook w:val="04A0" w:firstRow="1" w:lastRow="0" w:firstColumn="1" w:lastColumn="0" w:noHBand="0" w:noVBand="1"/>
      </w:tblPr>
      <w:tblGrid>
        <w:gridCol w:w="2020"/>
        <w:gridCol w:w="1935"/>
        <w:gridCol w:w="1582"/>
        <w:gridCol w:w="2001"/>
        <w:gridCol w:w="2071"/>
        <w:gridCol w:w="1582"/>
        <w:gridCol w:w="1345"/>
        <w:gridCol w:w="1362"/>
      </w:tblGrid>
      <w:tr w:rsidR="00133FE0" w:rsidRPr="00133FE0" w:rsidTr="00CD516C">
        <w:trPr>
          <w:trHeight w:val="1080"/>
          <w:tblHeader/>
        </w:trPr>
        <w:tc>
          <w:tcPr>
            <w:tcW w:w="72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hideMark/>
          </w:tcPr>
          <w:p w:rsidR="00146F87" w:rsidRPr="00133FE0" w:rsidRDefault="00133FE0" w:rsidP="00146F87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 xml:space="preserve">Study </w:t>
            </w:r>
          </w:p>
        </w:tc>
        <w:tc>
          <w:tcPr>
            <w:tcW w:w="696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  <w:hideMark/>
          </w:tcPr>
          <w:p w:rsidR="00146F87" w:rsidRPr="00133FE0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>Random sequence generation (selection bias)</w:t>
            </w:r>
          </w:p>
        </w:tc>
        <w:tc>
          <w:tcPr>
            <w:tcW w:w="569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  <w:hideMark/>
          </w:tcPr>
          <w:p w:rsidR="00146F87" w:rsidRPr="00133FE0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>Allocation concealment (selection bias)</w:t>
            </w:r>
          </w:p>
        </w:tc>
        <w:tc>
          <w:tcPr>
            <w:tcW w:w="720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  <w:hideMark/>
          </w:tcPr>
          <w:p w:rsidR="00146F87" w:rsidRPr="00133FE0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>Blinding of participants &amp; personnel (performance bias)</w:t>
            </w:r>
          </w:p>
        </w:tc>
        <w:tc>
          <w:tcPr>
            <w:tcW w:w="745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  <w:hideMark/>
          </w:tcPr>
          <w:p w:rsidR="00146F87" w:rsidRPr="00133FE0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>Blinding of outcome assessments (detection bias)</w:t>
            </w:r>
          </w:p>
        </w:tc>
        <w:tc>
          <w:tcPr>
            <w:tcW w:w="569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  <w:hideMark/>
          </w:tcPr>
          <w:p w:rsidR="00146F87" w:rsidRPr="00133FE0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>Incomplete outcome data (attrition bias)</w:t>
            </w:r>
          </w:p>
        </w:tc>
        <w:tc>
          <w:tcPr>
            <w:tcW w:w="484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  <w:hideMark/>
          </w:tcPr>
          <w:p w:rsidR="00146F87" w:rsidRPr="00133FE0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>Selective reporting (reporting bias)</w:t>
            </w:r>
          </w:p>
        </w:tc>
        <w:tc>
          <w:tcPr>
            <w:tcW w:w="490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  <w:hideMark/>
          </w:tcPr>
          <w:p w:rsidR="00146F87" w:rsidRPr="00133FE0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</w:rPr>
            </w:pPr>
            <w:r w:rsidRPr="00133FE0">
              <w:rPr>
                <w:rFonts w:eastAsia="Times New Roman" w:cstheme="minorHAnsi"/>
                <w:b/>
                <w:bCs/>
                <w:color w:val="FFFFFF" w:themeColor="background1"/>
              </w:rPr>
              <w:t>Other bias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Blanchard et al 2005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Blum et al 2012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Chai et al 2013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Chawdhary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2009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Chong et al 2012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Coyaji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2007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Creinin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2007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Dahiya et al 2011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Dahiya et al 2012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el-</w:t>
            </w:r>
            <w:proofErr w:type="spellStart"/>
            <w:r w:rsidRPr="00146F87">
              <w:rPr>
                <w:rFonts w:eastAsia="Times New Roman" w:cstheme="minorHAnsi"/>
                <w:color w:val="000000"/>
              </w:rPr>
              <w:t>Refaey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1994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El-</w:t>
            </w:r>
            <w:proofErr w:type="spellStart"/>
            <w:r w:rsidRPr="00146F87">
              <w:rPr>
                <w:rFonts w:eastAsia="Times New Roman" w:cstheme="minorHAnsi"/>
                <w:color w:val="000000"/>
              </w:rPr>
              <w:t>Refaey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1995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Fekih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2010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Goel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2011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Guest et al 2007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Hamoda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2005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Jain et al 2002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lastRenderedPageBreak/>
              <w:t>Middleton et al 2005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Ngoc et al 2011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Prasad et al 2009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Raghavan et al 2009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20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Raghavan et al 2010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Schaff et al 2000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Schaff et al 2001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20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Schaff et al 2002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Shannon et al 2006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>Tang et al 2003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390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Tendler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2015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Verma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2011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t>Verma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2017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 xml:space="preserve">von </w:t>
            </w:r>
            <w:proofErr w:type="spellStart"/>
            <w:r w:rsidRPr="00146F87">
              <w:rPr>
                <w:rFonts w:eastAsia="Times New Roman" w:cstheme="minorHAnsi"/>
                <w:color w:val="000000"/>
              </w:rPr>
              <w:t>Hertzen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2007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 xml:space="preserve">von </w:t>
            </w:r>
            <w:proofErr w:type="spellStart"/>
            <w:r w:rsidRPr="00146F87">
              <w:rPr>
                <w:rFonts w:eastAsia="Times New Roman" w:cstheme="minorHAnsi"/>
                <w:color w:val="000000"/>
              </w:rPr>
              <w:t>Hertzen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2009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146F87">
              <w:rPr>
                <w:rFonts w:eastAsia="Times New Roman" w:cstheme="minorHAnsi"/>
                <w:color w:val="000000"/>
              </w:rPr>
              <w:t xml:space="preserve">von </w:t>
            </w:r>
            <w:proofErr w:type="spellStart"/>
            <w:r w:rsidRPr="00146F87">
              <w:rPr>
                <w:rFonts w:eastAsia="Times New Roman" w:cstheme="minorHAnsi"/>
                <w:color w:val="000000"/>
              </w:rPr>
              <w:t>Hertzen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2010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</w:tr>
      <w:tr w:rsidR="00146F87" w:rsidRPr="00575995" w:rsidTr="00CD516C">
        <w:trPr>
          <w:trHeight w:val="435"/>
        </w:trPr>
        <w:tc>
          <w:tcPr>
            <w:tcW w:w="7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46F87" w:rsidRPr="00146F87" w:rsidRDefault="00146F87" w:rsidP="00146F8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146F87">
              <w:rPr>
                <w:rFonts w:eastAsia="Times New Roman" w:cstheme="minorHAnsi"/>
                <w:color w:val="000000"/>
              </w:rPr>
              <w:lastRenderedPageBreak/>
              <w:t>Winikoff</w:t>
            </w:r>
            <w:proofErr w:type="spellEnd"/>
            <w:r w:rsidRPr="00146F87">
              <w:rPr>
                <w:rFonts w:eastAsia="Times New Roman" w:cstheme="minorHAnsi"/>
                <w:color w:val="000000"/>
              </w:rPr>
              <w:t xml:space="preserve"> et al 2008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-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?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6F87" w:rsidRPr="00146F87" w:rsidRDefault="00146F87" w:rsidP="00146F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146F87">
              <w:rPr>
                <w:rFonts w:eastAsia="Times New Roman" w:cstheme="minorHAnsi"/>
                <w:b/>
                <w:bCs/>
                <w:color w:val="000000"/>
              </w:rPr>
              <w:t>+</w:t>
            </w:r>
          </w:p>
        </w:tc>
      </w:tr>
    </w:tbl>
    <w:p w:rsidR="00146F87" w:rsidRDefault="00146F87">
      <w:pPr>
        <w:rPr>
          <w:lang w:val="en-US"/>
        </w:rPr>
      </w:pPr>
    </w:p>
    <w:p w:rsidR="004A2FCD" w:rsidRDefault="004A2FCD">
      <w:pPr>
        <w:rPr>
          <w:lang w:val="en-US"/>
        </w:rPr>
      </w:pPr>
    </w:p>
    <w:p w:rsidR="004A2FCD" w:rsidRPr="00146F87" w:rsidRDefault="004A2FCD" w:rsidP="004A2FCD">
      <w:pPr>
        <w:jc w:val="center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74CE7153" wp14:editId="2EDE7976">
            <wp:extent cx="6257925" cy="3200400"/>
            <wp:effectExtent l="0" t="0" r="9525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4A2FCD" w:rsidRPr="00146F87" w:rsidSect="00146F87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E5F" w:rsidRDefault="00F56E5F" w:rsidP="001A7425">
      <w:pPr>
        <w:spacing w:after="0" w:line="240" w:lineRule="auto"/>
      </w:pPr>
      <w:r>
        <w:separator/>
      </w:r>
    </w:p>
  </w:endnote>
  <w:endnote w:type="continuationSeparator" w:id="0">
    <w:p w:rsidR="00F56E5F" w:rsidRDefault="00F56E5F" w:rsidP="001A7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MS Gothic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SOPT-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PS8C2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425" w:rsidRPr="001A7425" w:rsidRDefault="001A7425" w:rsidP="001A7425">
    <w:pPr>
      <w:autoSpaceDE w:val="0"/>
      <w:autoSpaceDN w:val="0"/>
      <w:adjustRightInd w:val="0"/>
      <w:spacing w:after="0" w:line="240" w:lineRule="auto"/>
      <w:rPr>
        <w:rFonts w:ascii="AdvPSOPT-I" w:hAnsi="AdvPSOPT-I" w:cs="AdvPSOPT-I"/>
        <w:b/>
        <w:bCs/>
        <w:color w:val="231F20"/>
      </w:rPr>
    </w:pPr>
    <w:r w:rsidRPr="001A7425">
      <w:rPr>
        <w:rFonts w:ascii="AdvPS8C2A" w:hAnsi="AdvPS8C2A" w:cs="AdvPS8C2A"/>
        <w:b/>
        <w:bCs/>
        <w:color w:val="231F20"/>
      </w:rPr>
      <w:t xml:space="preserve">Summary of risk of bias for each trial. </w:t>
    </w:r>
    <w:r w:rsidRPr="001A7425">
      <w:rPr>
        <w:rFonts w:ascii="AdvPSOPT-I" w:hAnsi="AdvPSOPT-I" w:cs="AdvPSOPT-I"/>
        <w:b/>
        <w:bCs/>
        <w:color w:val="231F20"/>
      </w:rPr>
      <w:t xml:space="preserve">Plus sign </w:t>
    </w:r>
    <w:r w:rsidRPr="001A7425">
      <w:rPr>
        <w:rFonts w:ascii="AdvPS8C2A" w:hAnsi="AdvPS8C2A" w:cs="AdvPS8C2A"/>
        <w:b/>
        <w:bCs/>
        <w:color w:val="231F20"/>
      </w:rPr>
      <w:t xml:space="preserve">indicates low risk of bias, </w:t>
    </w:r>
    <w:r w:rsidRPr="001A7425">
      <w:rPr>
        <w:rFonts w:ascii="AdvPSOPT-I" w:hAnsi="AdvPSOPT-I" w:cs="AdvPSOPT-I"/>
        <w:b/>
        <w:bCs/>
        <w:color w:val="231F20"/>
      </w:rPr>
      <w:t xml:space="preserve">minus sign </w:t>
    </w:r>
    <w:r w:rsidRPr="001A7425">
      <w:rPr>
        <w:rFonts w:ascii="AdvPS8C2A" w:hAnsi="AdvPS8C2A" w:cs="AdvPS8C2A"/>
        <w:b/>
        <w:bCs/>
        <w:color w:val="231F20"/>
      </w:rPr>
      <w:t xml:space="preserve">indicates high risk of bias, and </w:t>
    </w:r>
    <w:r w:rsidRPr="001A7425">
      <w:rPr>
        <w:rFonts w:ascii="AdvPSOPT-I" w:hAnsi="AdvPSOPT-I" w:cs="AdvPSOPT-I"/>
        <w:b/>
        <w:bCs/>
        <w:color w:val="231F20"/>
      </w:rPr>
      <w:t xml:space="preserve">question mark </w:t>
    </w:r>
    <w:r w:rsidRPr="001A7425">
      <w:rPr>
        <w:rFonts w:ascii="AdvPS8C2A" w:hAnsi="AdvPS8C2A" w:cs="AdvPS8C2A"/>
        <w:b/>
        <w:bCs/>
        <w:color w:val="231F20"/>
      </w:rPr>
      <w:t>indicates unclear risk of bias.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E5F" w:rsidRDefault="00F56E5F" w:rsidP="001A7425">
      <w:pPr>
        <w:spacing w:after="0" w:line="240" w:lineRule="auto"/>
      </w:pPr>
      <w:r>
        <w:separator/>
      </w:r>
    </w:p>
  </w:footnote>
  <w:footnote w:type="continuationSeparator" w:id="0">
    <w:p w:rsidR="00F56E5F" w:rsidRDefault="00F56E5F" w:rsidP="001A74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F87"/>
    <w:rsid w:val="000A63A3"/>
    <w:rsid w:val="00133FE0"/>
    <w:rsid w:val="00146F87"/>
    <w:rsid w:val="00162E67"/>
    <w:rsid w:val="001A7425"/>
    <w:rsid w:val="00365E15"/>
    <w:rsid w:val="004701D6"/>
    <w:rsid w:val="004A2FCD"/>
    <w:rsid w:val="00575995"/>
    <w:rsid w:val="00615284"/>
    <w:rsid w:val="00705CB2"/>
    <w:rsid w:val="007133C8"/>
    <w:rsid w:val="00722A69"/>
    <w:rsid w:val="008D5177"/>
    <w:rsid w:val="008F12D6"/>
    <w:rsid w:val="00C14504"/>
    <w:rsid w:val="00CA2C7E"/>
    <w:rsid w:val="00CD516C"/>
    <w:rsid w:val="00CF249A"/>
    <w:rsid w:val="00D94355"/>
    <w:rsid w:val="00DD2D6C"/>
    <w:rsid w:val="00E31DC6"/>
    <w:rsid w:val="00ED1B11"/>
    <w:rsid w:val="00F11478"/>
    <w:rsid w:val="00F56E5F"/>
    <w:rsid w:val="00F72147"/>
    <w:rsid w:val="00FA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F42A2-25AD-4767-A2EA-E96DF726F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51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17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A74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425"/>
  </w:style>
  <w:style w:type="paragraph" w:styleId="Footer">
    <w:name w:val="footer"/>
    <w:basedOn w:val="Normal"/>
    <w:link w:val="FooterChar"/>
    <w:uiPriority w:val="99"/>
    <w:unhideWhenUsed/>
    <w:rsid w:val="001A74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9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Low ris of bias </c:v>
                </c:pt>
              </c:strCache>
            </c:strRef>
          </c:tx>
          <c:spPr>
            <a:solidFill>
              <a:srgbClr val="008000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Other bias</c:v>
                </c:pt>
                <c:pt idx="1">
                  <c:v>Selective reporting (reporting bias)</c:v>
                </c:pt>
                <c:pt idx="2">
                  <c:v>Incomplete outcome data (attrition bias)</c:v>
                </c:pt>
                <c:pt idx="3">
                  <c:v>Blinding of outcome assessments (detection bias)</c:v>
                </c:pt>
                <c:pt idx="4">
                  <c:v>Blinding of participants &amp; personnel (performance bias)</c:v>
                </c:pt>
                <c:pt idx="5">
                  <c:v>Allocation concealment (selection bias)</c:v>
                </c:pt>
                <c:pt idx="6">
                  <c:v>Random sequence generation (selection bias)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34.200000000000003</c:v>
                </c:pt>
                <c:pt idx="1">
                  <c:v>85.4</c:v>
                </c:pt>
                <c:pt idx="2">
                  <c:v>87.8</c:v>
                </c:pt>
                <c:pt idx="3">
                  <c:v>4.9000000000000004</c:v>
                </c:pt>
                <c:pt idx="4">
                  <c:v>19.5</c:v>
                </c:pt>
                <c:pt idx="5">
                  <c:v>63.4</c:v>
                </c:pt>
                <c:pt idx="6">
                  <c:v>85.4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5E9-45E8-993D-29752D5E1BE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Unclear risk of bias</c:v>
                </c:pt>
              </c:strCache>
            </c:strRef>
          </c:tx>
          <c:spPr>
            <a:solidFill>
              <a:srgbClr val="FFFF00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Other bias</c:v>
                </c:pt>
                <c:pt idx="1">
                  <c:v>Selective reporting (reporting bias)</c:v>
                </c:pt>
                <c:pt idx="2">
                  <c:v>Incomplete outcome data (attrition bias)</c:v>
                </c:pt>
                <c:pt idx="3">
                  <c:v>Blinding of outcome assessments (detection bias)</c:v>
                </c:pt>
                <c:pt idx="4">
                  <c:v>Blinding of participants &amp; personnel (performance bias)</c:v>
                </c:pt>
                <c:pt idx="5">
                  <c:v>Allocation concealment (selection bias)</c:v>
                </c:pt>
                <c:pt idx="6">
                  <c:v>Random sequence generation (selection bias)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26.8</c:v>
                </c:pt>
                <c:pt idx="1">
                  <c:v>4.9000000000000004</c:v>
                </c:pt>
                <c:pt idx="3">
                  <c:v>24.4</c:v>
                </c:pt>
                <c:pt idx="4">
                  <c:v>2.5</c:v>
                </c:pt>
                <c:pt idx="5">
                  <c:v>24.4</c:v>
                </c:pt>
                <c:pt idx="6">
                  <c:v>4.9000000000000004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5E9-45E8-993D-29752D5E1BE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High risk of bias</c:v>
                </c:pt>
              </c:strCache>
            </c:strRef>
          </c:tx>
          <c:spPr>
            <a:solidFill>
              <a:srgbClr val="FF0000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Other bias</c:v>
                </c:pt>
                <c:pt idx="1">
                  <c:v>Selective reporting (reporting bias)</c:v>
                </c:pt>
                <c:pt idx="2">
                  <c:v>Incomplete outcome data (attrition bias)</c:v>
                </c:pt>
                <c:pt idx="3">
                  <c:v>Blinding of outcome assessments (detection bias)</c:v>
                </c:pt>
                <c:pt idx="4">
                  <c:v>Blinding of participants &amp; personnel (performance bias)</c:v>
                </c:pt>
                <c:pt idx="5">
                  <c:v>Allocation concealment (selection bias)</c:v>
                </c:pt>
                <c:pt idx="6">
                  <c:v>Random sequence generation (selection bias)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  <c:pt idx="0">
                  <c:v>39</c:v>
                </c:pt>
                <c:pt idx="1">
                  <c:v>9.6999999999999993</c:v>
                </c:pt>
                <c:pt idx="2">
                  <c:v>12.2</c:v>
                </c:pt>
                <c:pt idx="3">
                  <c:v>70.7</c:v>
                </c:pt>
                <c:pt idx="4">
                  <c:v>78</c:v>
                </c:pt>
                <c:pt idx="5">
                  <c:v>12.2</c:v>
                </c:pt>
                <c:pt idx="6">
                  <c:v>9.6999999999999993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5E9-45E8-993D-29752D5E1B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547207576"/>
        <c:axId val="547206400"/>
      </c:barChart>
      <c:catAx>
        <c:axId val="54720757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7206400"/>
        <c:crosses val="autoZero"/>
        <c:auto val="1"/>
        <c:lblAlgn val="ctr"/>
        <c:lblOffset val="100"/>
        <c:noMultiLvlLbl val="0"/>
      </c:catAx>
      <c:valAx>
        <c:axId val="5472064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72075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2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42DE8-1891-413B-B254-C5AF9C5D2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ABUBEKER, Ferid Abbas</dc:creator>
  <cp:keywords/>
  <dc:description/>
  <cp:lastModifiedBy>Ferid Abbas</cp:lastModifiedBy>
  <cp:revision>8</cp:revision>
  <dcterms:created xsi:type="dcterms:W3CDTF">2019-04-05T08:48:00Z</dcterms:created>
  <dcterms:modified xsi:type="dcterms:W3CDTF">2019-09-27T15:42:00Z</dcterms:modified>
</cp:coreProperties>
</file>